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color w:val="333333"/>
          <w:sz w:val="39"/>
          <w:szCs w:val="39"/>
        </w:rPr>
      </w:pPr>
      <w:r>
        <w:rPr>
          <w:rFonts w:ascii="微软雅黑" w:hAnsi="微软雅黑" w:eastAsia="微软雅黑" w:cs="微软雅黑"/>
          <w:b w:val="0"/>
          <w:color w:val="333333"/>
          <w:sz w:val="39"/>
          <w:szCs w:val="39"/>
        </w:rPr>
        <w:t>中华人民共和国药品管理法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目　　录</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第一章　总　　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第二章　药品研制和注册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第三章　药品上市许可持有人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第四章　药品生产</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第五章　药品经营</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第六章　医疗机构药事管理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第七章　药品上市后管理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第八章　药品价格和广告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第九章　药品储备和供应</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第十章　监督管理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第十一章　法律责任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第十二章　附　　则</w:t>
      </w:r>
    </w:p>
    <w:p>
      <w:pPr>
        <w:jc w:val="both"/>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b/>
          <w:bCs/>
          <w:color w:val="000000"/>
          <w:sz w:val="24"/>
          <w:szCs w:val="24"/>
          <w:u w:val="none"/>
        </w:rPr>
      </w:pPr>
      <w:r>
        <w:rPr>
          <w:rFonts w:hint="eastAsia" w:asciiTheme="minorEastAsia" w:hAnsiTheme="minorEastAsia" w:eastAsiaTheme="minorEastAsia" w:cstheme="minorEastAsia"/>
          <w:b/>
          <w:bCs/>
          <w:color w:val="000000"/>
          <w:sz w:val="24"/>
          <w:szCs w:val="24"/>
          <w:u w:val="none"/>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第一条　为了加强药品管理，保证药品质量，保障公众用药安全和合法权益，保护和促进公众健康，制定本法。</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第二条　在中华人民共和国境内从事药品研制、生产、经营、使用和监督管理活动，适用本法。</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w:t>
      </w:r>
      <w:r>
        <w:rPr>
          <w:rFonts w:hint="eastAsia" w:asciiTheme="minorEastAsia" w:hAnsiTheme="minorEastAsia" w:eastAsiaTheme="minorEastAsia" w:cstheme="minorEastAsia"/>
          <w:color w:val="FF0000"/>
          <w:sz w:val="24"/>
          <w:szCs w:val="24"/>
          <w:u w:val="none"/>
        </w:rPr>
        <w:t>本法所称药品，是指用于预防、治疗、诊断人的疾病，有目的地调节人的生理机能并规定有适应症或者功能主治、用法和用量的物质，包括中药、化学药和生物制品等。</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第三条　药品管理应当以人民健康为中心，坚持风险管理、全程管控、社会共治的原则，建立科学、严格的监督管理制度，全面提升药品质量，保障药品的安全、有效、可及。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第四条　国家发展现代药和传统药，充分发挥其在预防、医疗和保健中的作用。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cstheme="minorEastAsia"/>
          <w:color w:val="000000"/>
          <w:sz w:val="24"/>
          <w:szCs w:val="24"/>
          <w:u w:val="none"/>
          <w:lang w:val="en-US" w:eastAsia="zh-CN"/>
        </w:rPr>
        <w:t xml:space="preserve">    </w:t>
      </w:r>
      <w:r>
        <w:rPr>
          <w:rFonts w:hint="eastAsia" w:asciiTheme="minorEastAsia" w:hAnsiTheme="minorEastAsia" w:eastAsiaTheme="minorEastAsia" w:cstheme="minorEastAsia"/>
          <w:color w:val="000000"/>
          <w:sz w:val="24"/>
          <w:szCs w:val="24"/>
          <w:u w:val="none"/>
        </w:rPr>
        <w:t>国家保护野生药材资源和中药品种，鼓励培育道地中药材。</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第五条　国家鼓励研究和创制新药，保护公民、法人和其他组织研究、开发新药的合法权益。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第六条　国家对药品管理实行</w:t>
      </w:r>
      <w:r>
        <w:rPr>
          <w:rFonts w:hint="eastAsia" w:asciiTheme="minorEastAsia" w:hAnsiTheme="minorEastAsia" w:eastAsiaTheme="minorEastAsia" w:cstheme="minorEastAsia"/>
          <w:color w:val="FF0000"/>
          <w:sz w:val="24"/>
          <w:szCs w:val="24"/>
          <w:u w:val="none"/>
        </w:rPr>
        <w:t>药品上市许可持有人制度</w:t>
      </w:r>
      <w:r>
        <w:rPr>
          <w:rFonts w:hint="eastAsia" w:asciiTheme="minorEastAsia" w:hAnsiTheme="minorEastAsia" w:eastAsiaTheme="minorEastAsia" w:cstheme="minorEastAsia"/>
          <w:color w:val="000000"/>
          <w:sz w:val="24"/>
          <w:szCs w:val="24"/>
          <w:u w:val="none"/>
        </w:rPr>
        <w:t>。药品上市许可持有人依法对药品研制、生产、经营、使用全过程中药品的安全性、有效性和质量可控性负责。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第七条　从事药品研制、生产、经营、使用活动，应当遵守法律、法规、规章、标准和规范，保证全过程信息真实、准确、完整和可追溯。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第十条　县级以上人民政府应当将药品安全工作纳入本级国民经济和社会发展规划，将药品安全工作经费列入本级政府预算，加强药品监督管理能力建设，为药品安全工作提供保障。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第十一条　药品监督管理部门设置或者指定的药品专业技术机构，承担依法实施药品监督管理所需的审评、检验、核查、监测与评价等工作。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第十二条　国家建立健全药品追溯制度。国务院药品监督管理部门应当制定统一的药品追溯标准和规范，推进药品追溯信息互通互享，实现药品可追溯。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国家建立药物警戒制度，对药品不良反应及其他与用药有关的有害反应进行监测、识别、评估和控制。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第十三条　各级人民政府及其有关部门、药品行业协会等应当加强药品安全宣传教育，开展药品安全法律法规等知识的普及工作。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新闻媒体应当开展药品安全法律法规等知识的公益宣传，并对药品违法行为进行舆论监督。有关药品的宣传报道应当全面、科学、客观、公正。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第十四条　药品行业协会应当加强行业自律，建立健全行业规范，推动行业诚信体系建设，引导和督促会员依法开展药品生产经营等活动。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第十五条　县级以上人民政府及其有关部门对在药品研制、生产、经营、使用和监督管理工作中做出突出贡献的单位和个人，按照国家有关规定给予表彰、奖励。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第二章　药品研制和注册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国家鼓励运用现代科学技术和传统中药研究方法开展中药科学技术研究和药物开发，建立和完善符合中药特点的技术评价体系，促进中药传承创新。</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国家采取有效措施，鼓励儿童用药品的研制和创新，支持开发符合儿童生理特征的儿童用药品新品种、剂型和规格，对儿童用药品予以优先审评审批。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第十七条　从事药品研制活动，应当遵守药物非临床研究质量管理规范、药物临床试验质量管理规范，保证药品研制全过程持续符合法定要求。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药物非临床研究质量管理规范、药物临床试验质量管理规范由国务院药品监督管理部门会同国务院有关部门制定。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第十八条　开展药物非临床研究，应当符合国家有关规定，有与研究项目相适应的人员、场地、设备、仪器和管理制度，保证有关数据、资料和样品的真实性。</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w:t>
      </w:r>
      <w:r>
        <w:rPr>
          <w:rFonts w:hint="eastAsia" w:asciiTheme="minorEastAsia" w:hAnsiTheme="minorEastAsia" w:eastAsiaTheme="minorEastAsia" w:cstheme="minorEastAsia"/>
          <w:color w:val="FF0000"/>
          <w:sz w:val="24"/>
          <w:szCs w:val="24"/>
          <w:u w:val="none"/>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rPr>
          <w:rFonts w:hint="eastAsia" w:asciiTheme="minorEastAsia" w:hAnsiTheme="minorEastAsia" w:eastAsiaTheme="minorEastAsia" w:cstheme="minorEastAsia"/>
          <w:color w:val="FF0000"/>
          <w:sz w:val="24"/>
          <w:szCs w:val="24"/>
          <w:u w:val="none"/>
        </w:rPr>
        <w:br w:type="textWrapping"/>
      </w:r>
      <w:r>
        <w:rPr>
          <w:rFonts w:hint="eastAsia" w:asciiTheme="minorEastAsia" w:hAnsiTheme="minorEastAsia" w:eastAsiaTheme="minorEastAsia" w:cstheme="minorEastAsia"/>
          <w:color w:val="FF0000"/>
          <w:sz w:val="24"/>
          <w:szCs w:val="24"/>
          <w:u w:val="none"/>
        </w:rPr>
        <w:t>　　开展药物临床试验，应当在具备相应条件的临床试验机构进行。药物临床试验机构实行备案管理，具体办法由国务院药品监督管理部门、国务院卫生健康主管部门共同制定。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w:t>
      </w:r>
      <w:r>
        <w:rPr>
          <w:rFonts w:hint="eastAsia" w:asciiTheme="minorEastAsia" w:hAnsiTheme="minorEastAsia" w:eastAsiaTheme="minorEastAsia" w:cstheme="minorEastAsia"/>
          <w:color w:val="FF0000"/>
          <w:sz w:val="24"/>
          <w:szCs w:val="24"/>
          <w:u w:val="none"/>
        </w:rPr>
        <w:t>第二十条　开展药物临床试验，应当符合伦理原则，制定临床试验方案，经伦理委员会审查同意。</w:t>
      </w:r>
      <w:r>
        <w:rPr>
          <w:rFonts w:hint="eastAsia" w:asciiTheme="minorEastAsia" w:hAnsiTheme="minorEastAsia" w:eastAsiaTheme="minorEastAsia" w:cstheme="minorEastAsia"/>
          <w:color w:val="FF0000"/>
          <w:sz w:val="24"/>
          <w:szCs w:val="24"/>
          <w:u w:val="none"/>
        </w:rPr>
        <w:br w:type="textWrapping"/>
      </w:r>
      <w:r>
        <w:rPr>
          <w:rFonts w:hint="eastAsia" w:asciiTheme="minorEastAsia" w:hAnsiTheme="minorEastAsia" w:eastAsiaTheme="minorEastAsia" w:cstheme="minorEastAsia"/>
          <w:color w:val="FF0000"/>
          <w:sz w:val="24"/>
          <w:szCs w:val="24"/>
          <w:u w:val="none"/>
        </w:rPr>
        <w:t>　　伦理委员会应当建立伦理审查工作制度，保证伦理审查过程独立、客观、公正，监督规范开展药物临床试验，保障受试者合法权益，维护社会公共利益。</w:t>
      </w:r>
      <w:r>
        <w:rPr>
          <w:rFonts w:hint="eastAsia" w:asciiTheme="minorEastAsia" w:hAnsiTheme="minorEastAsia" w:eastAsiaTheme="minorEastAsia" w:cstheme="minorEastAsia"/>
          <w:color w:val="FF0000"/>
          <w:sz w:val="24"/>
          <w:szCs w:val="24"/>
          <w:u w:val="none"/>
        </w:rPr>
        <w:br w:type="textWrapping"/>
      </w:r>
      <w:r>
        <w:rPr>
          <w:rFonts w:hint="eastAsia" w:asciiTheme="minorEastAsia" w:hAnsiTheme="minorEastAsia" w:eastAsiaTheme="minorEastAsia" w:cstheme="minorEastAsia"/>
          <w:color w:val="FF0000"/>
          <w:sz w:val="24"/>
          <w:szCs w:val="24"/>
          <w:u w:val="none"/>
        </w:rPr>
        <w:t>　　第二十一条　实施药物临床试验，应当向受试者或者其监护人如实说明和解释临床试验的目的和风险等详细情况，取得受试者或者其监护人自愿签署的知情同意书，并采取有效措施保护受试者合法权益。</w:t>
      </w:r>
      <w:r>
        <w:rPr>
          <w:rFonts w:hint="eastAsia" w:asciiTheme="minorEastAsia" w:hAnsiTheme="minorEastAsia" w:eastAsiaTheme="minorEastAsia" w:cstheme="minorEastAsia"/>
          <w:color w:val="FF0000"/>
          <w:sz w:val="24"/>
          <w:szCs w:val="24"/>
          <w:u w:val="none"/>
        </w:rPr>
        <w:br w:type="textWrapping"/>
      </w:r>
      <w:r>
        <w:rPr>
          <w:rFonts w:hint="eastAsia" w:asciiTheme="minorEastAsia" w:hAnsiTheme="minorEastAsia" w:eastAsiaTheme="minorEastAsia" w:cstheme="minorEastAsia"/>
          <w:color w:val="FF0000"/>
          <w:sz w:val="24"/>
          <w:szCs w:val="24"/>
          <w:u w:val="none"/>
        </w:rPr>
        <w:t>　　第二十二条　药物临床试验期间，发现存在安全性问题或者其他风险的，临床试验申办者应当及时调整临床试验方案、暂停或者终止临床试验，并向国务院药品监督管理部门报告。必要时，国务院药</w:t>
      </w:r>
      <w:bookmarkStart w:id="0" w:name="_GoBack"/>
      <w:bookmarkEnd w:id="0"/>
      <w:r>
        <w:rPr>
          <w:rFonts w:hint="eastAsia" w:asciiTheme="minorEastAsia" w:hAnsiTheme="minorEastAsia" w:eastAsiaTheme="minorEastAsia" w:cstheme="minorEastAsia"/>
          <w:color w:val="FF0000"/>
          <w:sz w:val="24"/>
          <w:szCs w:val="24"/>
          <w:u w:val="none"/>
        </w:rPr>
        <w:t>品监督管理部门可以责令调整临床试验方案、暂停或者终止临床试验。</w:t>
      </w:r>
      <w:r>
        <w:rPr>
          <w:rFonts w:hint="eastAsia" w:asciiTheme="minorEastAsia" w:hAnsiTheme="minorEastAsia" w:eastAsiaTheme="minorEastAsia" w:cstheme="minorEastAsia"/>
          <w:color w:val="FF0000"/>
          <w:sz w:val="24"/>
          <w:szCs w:val="24"/>
          <w:u w:val="none"/>
        </w:rPr>
        <w:br w:type="textWrapping"/>
      </w:r>
      <w:r>
        <w:rPr>
          <w:rFonts w:hint="eastAsia" w:asciiTheme="minorEastAsia" w:hAnsiTheme="minorEastAsia" w:eastAsiaTheme="minorEastAsia" w:cstheme="minorEastAsia"/>
          <w:color w:val="FF0000"/>
          <w:sz w:val="24"/>
          <w:szCs w:val="24"/>
          <w:u w:val="none"/>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申请药品注册，应当提供真实、充分、可靠的数据、资料和样品，证明药品的安全性、有效性和质量可控性。</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国务院药品监督管理部门在审批药品时，对化学原料药一并审评审批，对相关辅料、直接接触药品的包装材料和容器一并审评，对药品的质量标准、生产工艺、标签和说明书一并核准。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本法所称辅料，是指生产药品和调配处方时所用的赋形剂和附加剂。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第二十六条　对治疗严重危及生命且尚无有效治疗手段的疾病以及公共卫生方面急需的药品，药物临床试验已有数据显示疗效并能预测其临床价值的，可以附条件批准，并在药品注册证书中载明相关事项。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第二十七条　国务院药品监督管理部门应当完善药品审评审批工作制度，加强能力建设，建立健全沟通交流、专家咨询等机制，优化审评审批流程，提高审评审批效率。</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批准上市药品的审评结论和依据应当依法公开，接受社会监督。对审评审批中知悉的商业秘密应当保密。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第二十八条　药品应当符合国家药品标准。经国务院药品监督管理部门核准的药品质量标准高于国家药品标准的，按照经核准的药品质量标准执行；没有国家药品标准的，应当符合经核准的药品质量标准。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国务院药品监督管理部门颁布的《中华人民共和国药典》和药品标准为国家药品标准。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国务院药品监督管理部门会同国务院卫生健康主管部门组织药典委员会，负责国家药品标准的制定和修订。</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国务院药品监督管理部门设置或者指定的药品检验机构负责标定国家药品标准品、对照品。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第二十九条　列入国家药品标准的药品名称为药品通用名称。已经作为药品通用名称的，该名称不得作为药品商标使用。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第三章　药品上市许可持有人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第三十条　药品上市许可持有人是指取得药品注册证书的企业或者药品研制机构等。</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药品上市许可持有人的法定代表人、主要负责人对药品质量全面负责。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第三十一条　药品上市许可持有人应当建立药品质量保证体系，配备专门人员独立负责药品质量管理。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药品上市许可持有人应当对受托药品生产企业、药品经营企业的质量管理体系进行定期审核，监督其持续具备质量保证和控制能力。</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第三十二条　药品上市许可持有人可以自行生产药品，也可以委托药品生产企业生产。</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国务院药品监督管理部门制定药品委托生产质量协议指南，指导、监督药品上市许可持有人和受托生产企业履行药品质量保证义务。</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血液制品、麻醉药品、精神药品、医疗用毒性药品、药品类易制毒化学品不得委托生产；但是，国务院药品监督管理部门另有规定的除外。</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第三十三条　药品上市许可持有人应当建立药品上市放行规程，对药品生产企业出厂放行的药品进行审核，经质量受权人签字后方可放行。不符合国家药品标准的，不得放行。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第三十四条　药品上市许可持有人可以自行销售其取得药品注册证书的药品，也可以委托药品经营企业销售。药品上市许可持有人从事药品零售活动的，应当取得药品经营许可证。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第三十六条　药品上市许可持有人、药品生产企业、药品经营企业和医疗机构应当建立并实施药品追溯制度，按照规定提供追溯信息，保证药品可追溯。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第三十七条　药品上市许可持有人应当建立年度报告制度，每年将药品生产销售、上市后研究、风险管理等情况按照规定向省、自治区、直辖市人民政府药品监督管理部门报告。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第三十八条　药品上市许可持有人为境外企业的，应当由其指定的在中国境内的企业法人履行药品上市许可持有人义务，与药品上市许可持有人承担连带责任。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第三十九条　中药饮片生产企业履行药品上市许可持有人的相关义务，对中药饮片生产、销售实行全过程管理，建立中药饮片追溯体系，保证中药饮片安全、有效、可追溯。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第四章　药品生产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第四十一条　从事药品生产活动，应当经所在地省、自治区、直辖市人民政府药品监督管理部门批准，取得药品生产许可证。无药品生产许可证的，不得生产药品。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药品生产许可证应当标明有效期和生产范围，到期重新审查发证。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第四十二条　从事药品生产活动，应当具备以下条件: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（一）有依法经过资格认定的药学技术人员、工程技术人员及相应的技术工人；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（二）有与药品生产相适应的厂房、设施和卫生环境；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（三）有能对所生产药品进行质量管理和质量检验的机构、人员及必要的仪器设备；</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（四）有保证药品质量的规章制度，并符合国务院药品监督管理部门依据本法制定的药品生产质量管理规范要求。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第四十三条　从事药品生产活动，应当遵守药品生产质量管理规范，建立健全药品生产质量管理体系，保证药品生产全过程持续符合法定要求。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药品生产企业的法定代表人、主要负责人对本企业的药品生产活动全面负责。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第四十四条　药品应当按照国家药品标准和经药品监督管理部门核准的生产工艺进行生产。生产、检验记录应当完整准确，不得编造。</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第四十五条　生产药品所需的原料、辅料，应当符合药用要求、药品生产质量管理规范的有关要求。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生产药品，应当按照规定对供应原料、辅料等的供应商进行审核，保证购进、使用的原料、辅料等符合前款规定要求。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第四十六条　直接接触药品的包装材料和容器，应当符合药用要求，符合保障人体健康、安全的标准。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对不合格的直接接触药品的包装材料和容器，由药品监督管理部门责令停止使用。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第四十七条　药品生产企业应当对药品进行质量检验。不符合国家药品标准的，不得出厂。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药品生产企业应当建立药品出厂放行规程，明确出厂放行的标准、条件。符合标准、条件的，经质量受权人签字后方可放行。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第四十八条　药品包装应当适合药品质量的要求，方便储存、运输和医疗使用。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发运中药材应当有包装。在每件包装上，应当注明品名、产地、日期、供货单位，并附有质量合格的标志。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第四十九条　药品包装应当按照规定印有或者贴有标签并附有说明书。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麻醉药品、精神药品、医疗用毒性药品、放射性药品、外用药品和非处方药的标签、说明书，应当印有规定的标志。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第五十条　药品上市许可持有人、药品生产企业、药品经营企业和医疗机构中直接接触药品的工作人员，应当每年进行健康检查。患有传染病或者其他可能污染药品的疾病的，不得从事直接接触药品的工作。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第五章　药品经营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药品经营许可证应当标明有效期和经营范围，到期重新审查发证。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药品监督管理部门实施药品经营许可，除依据本法第五十二条规定的条件外，还应当遵循方便群众购药的原则。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第五十二条　从事药品经营活动应当具备以下条件: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（一）有依法经过资格认定的药师或者其他药学技术人员；</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（二）有与所经营药品相适应的营业场所、设备、仓储设施和卫生环境；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（三）有与所经营药品相适应的质量管理机构或者人员；</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（四）有保证药品质量的规章制度，并符合国务院药品监督管理部门依据本法制定的药品经营质量管理规范要求。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第五十三条　从事药品经营活动，应当遵守药品经营质量管理规范，建立健全药品经营质量管理体系，保证药品经营全过程持续符合法定要求。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国家鼓励、引导药品零售连锁经营。从事药品零售连锁经营活动的企业总部，应当建立统一的质量管理制度，对所属零售企业的经营活动履行管理责任。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药品经营企业的法定代表人、主要负责人对本企业的药品经营活动全面负责。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第五十四条　国家对药品实行处方药与非处方药分类管理制度。具体办法由国务院药品监督管理部门会同国务院卫生健康主管部门制定。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第五十五条　药品上市许可持有人、药品生产企业、药品经营企业和医疗机构应当从药品上市许可持有人或者具有药品生产、经营资格的企业购进药品；但是，购进未实施审批管理的中药材除外。</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第五十六条　药品经营企业购进药品，应当建立并执行进货检查验收制度，验明药品合格证明和其他标识；不符合规定要求的，不得购进和销售。</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药品经营企业销售中药材，应当标明产地。</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依法经过资格认定的药师或者其他药学技术人员负责本企业的药品管理、处方审核和调配、合理用药指导等工作。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第五十九条　药品经营企业应当制定和执行药品保管制度，采取必要的冷藏、防冻、防潮、防虫、防鼠等措施，保证药品质量。</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药品入库和出库应当执行检查制度。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第六十条　城乡集市贸易市场可以出售中药材，国务院另有规定的除外。</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第六十一条　药品上市许可持有人、药品经营企业通过网络销售药品，应当遵守本法药品经营的有关规定。具体管理办法由国务院药品监督管理部门会同国务院卫生健康主管部门等部门制定。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疫苗、血液制品、麻醉药品、精神药品、医疗用毒性药品、放射性药品、药品类易制毒化学品等国家实行特殊管理的药品不得在网络上销售。</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第六十二条　药品网络交易第三方平台提供者应当按照国务院药品监督管理部门的规定，向所在地省、自治区、直辖市人民政府药品监督管理部门备案。</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第三方平台提供者应当依法对申请进入平台经营的药品上市许可持有人、药品经营企业的资质等进行审核，保证其符合法定要求，并对发生在平台的药品经营行为进行管理。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第六十三条　新发现和从境外引种的药材，经国务院药品监督管理部门批准后，方可销售。</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口岸所在地药品监督管理部门应当通知药品检验机构按照国务院药品监督管理部门的规定对进口药品进行抽查检验。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允许药品进口的口岸由国务院药品监督管理部门会同海关总署提出，报国务院批准。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第六十五条　医疗机构因临床急需进口少量药品的，经国务院药品监督管理部门或者国务院授权的省、自治区、直辖市人民政府批准，可以进口。进口的药品应当在指定医疗机构内用于特定医疗目的。</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个人自用携带入境少量药品，按照国家有关规定办理。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第六十六条　进口、出口麻醉药品和国家规定范围内的精神药品，应当持有国务院药品监督管理部门颁发的进口准许证、出口准许证。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第六十七条　禁止进口疗效不确切、不良反应大或者因其他原因危害人体健康的药品。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第六十八条　国务院药品监督管理部门对下列药品在销售前或者进口时，应当指定药品检验机构进行检验；未经检验或者检验不合格的，不得销售或者进口: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（一）首次在中国境内销售的药品；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（二）国务院药品监督管理部门规定的生物制品；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（三）国务院规定的其他药品。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第六章　医疗机构药事管理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第六十九条　医疗机构应当配备依法经过资格认定的药师或者其他药学技术人员，负责本单位的药品管理、处方审核和调配、合理用药指导等工作。非药学技术人员不得直接从事药剂技术工作。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第七十条　医疗机构购进药品，应当建立并执行进货检查验收制度，验明药品合格证明和其他标识；不符合规定要求的，不得购进和使用。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第七十一条　医疗机构应当有与所使用药品相适应的场所、设备、仓储设施和卫生环境，制定和执行药品保管制度，采取必要的冷藏、防冻、防潮、防虫、防鼠等措施，保证药品质量。</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第七十二条　医疗机构应当坚持安全有效、经济合理的用药原则，遵循药品临床应用指导原则、临床诊疗指南和药品说明书等合理用药，对医师处方、用药医嘱的适宜性进行审核。</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医疗机构以外的其他药品使用单位，应当遵守本法有关医疗机构使用药品的规定。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第七十四条　医疗机构配制制剂，应当经所在地省、自治区、直辖市人民政府药品监督管理部门批准，取得医疗机构制剂许可证。无医疗机构制剂许可证的，不得配制制剂。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医疗机构制剂许可证应当标明有效期，到期重新审查发证。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第七十五条　医疗机构配制制剂，应当有能够保证制剂质量的设施、管理制度、检验仪器和卫生环境。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医疗机构配制制剂，应当按照经核准的工艺进行，所需的原料、辅料和包装材料等应当符合药用要求。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第七十六条　医疗机构配制的制剂，应当是本单位临床需要而市场上没有供应的品种，并应当经所在地省、自治区、直辖市人民政府药品监督管理部门批准；但是，法律对配制中药制剂另有规定的除外。</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医疗机构配制的制剂不得在市场上销售。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第七章　药品上市后管理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第七十七条　药品上市许可持有人应当制定药品上市后风险管理计划，主动开展药品上市后研究，对药品的安全性、有效性和质量可控性进行进一步确证，加强对已上市药品的持续管理。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药品上市许可持有人应当按照国务院药品监督管理部门的规定，全面评估、验证变更事项对药品安全性、有效性和质量可控性的影响。</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第八十条　药品上市许可持有人应当开展药品上市后不良反应监测，主动收集、跟踪分析疑似药品不良反应信息，对已识别风险的药品及时采取风险控制措施。</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药品上市许可持有人依法应当召回药品而未召回的，省、自治区、直辖市人民政府药品监督管理部门应当责令其召回。</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经评价，对疗效不确切、不良反应大或者因其他原因危害人体健康的药品，应当注销药品注册证书。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已被注销药品注册证书的药品，不得生产或者进口、销售和使用。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已被注销药品注册证书、超过有效期等的药品，应当由药品监督管理部门监督销毁或者依法采取其他无害化处理等措施。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第八章　药品价格和广告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第八十四条　国家完善药品采购管理制度，对药品价格进行监测，开展成本价格调查，加强药品价格监督检查，依法查处价格垄断、哄抬价格等药品价格违法行为，维护药品价格秩序。</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第八十五条　依法实行市场调节价的药品，药品上市许可持有人、药品生产企业、药品经营企业和医疗机构应当按照公平、合理和诚实信用、质价相符的原则制定价格，为用药者提供价格合理的药品。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药品上市许可持有人、药品生产企业、药品经营企业和医疗机构应当遵守国务院药品价格主管部门关于药品价格管理的规定，制定和标明药品零售价格，禁止暴利、价格垄断和价格欺诈等行为。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第八十六条　药品上市许可持有人、药品生产企业、药品经营企业和医疗机构应当依法向药品价格主管部门提供其药品的实际购销价格和购销数量等资料。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第八十七条　医疗机构应当向患者提供所用药品的价格清单，按照规定如实公布其常用药品的价格，加强合理用药管理。具体办法由国务院卫生健康主管部门制定。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第八十八条　禁止药品上市许可持有人、药品生产企业、药品经营企业和医疗机构在药品购销中给予、收受回扣或者其他不正当利益。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第八十九条　药品广告应当经广告主所在地省、自治区、直辖市人民政府确定的广告审查机关批准；未经批准的，不得发布。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第九十条　药品广告的内容应当真实、合法，以国务院药品监督管理部门核准的药品说明书为准，不得含有虚假的内容。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药品广告不得含有表示功效、安全性的断言或者保证；不得利用国家机关、科研单位、学术机构、行业协会或者专家、学者、医师、药师、患者等的名义或者形象作推荐、证明。</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非药品广告不得有涉及药品的宣传。</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第九十一条　药品价格和广告，本法未作规定的，适用《中华人民共和国价格法》、《中华人民共和国反垄断法》、《中华人民共和国反不正当竞争法》、《中华人民共和国广告法》等的规定。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第九章　药品储备和供应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第九十二条　国家实行药品储备制度，建立中央和地方两级药品储备。</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发生重大灾情、疫情或者其他突发事件时，依照《中华人民共和国突发事件应对法》的规定，可以紧急调用药品。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第九十三条　国家实行基本药物制度，遴选适当数量的基本药物品种，加强组织生产和储备，提高基本药物的供给能力，满足疾病防治基本用药需求。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第九十四条　国家建立药品供求监测体系，及时收集和汇总分析短缺药品供求信息，对短缺药品实行预警，采取应对措施。</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第九十五条　国家实行短缺药品清单管理制度。具体办法由国务院卫生健康主管部门会同国务院药品监督管理部门等部门制定。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药品上市许可持有人停止生产短缺药品的，应当按照规定向国务院药品监督管理部门或者省、自治区、直辖市人民政府药品监督管理部门报告。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第九十六条　国家鼓励短缺药品的研制和生产，对临床急需的短缺药品、防治重大传染病和罕见病等疾病的新药予以优先审评审批。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第九十七条　对短缺药品，国务院可以限制或者禁止出口。必要时，国务院有关部门可以采取组织生产、价格干预和扩大进口等措施，保障药品供应。</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药品上市许可持有人、药品生产企业、药品经营企业应当按照规定保障药品的生产和供应。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第十章　监督管理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第九十八条　禁止生产（包括配制，下同）、销售、使用假药、劣药。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有下列情形之一的，为假药: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（一）药品所含成份与国家药品标准规定的成份不符；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（二）以非药品冒充药品或者以他种药品冒充此种药品；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（三）变质的药品；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（四）药品所标明的适应症或者功能主治超出规定范围。</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有下列情形之一的，为劣药：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（一）药品成份的含量不符合国家药品标准；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（二）被污染的药品；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（三）未标明或者更改有效期的药品；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（四）未注明或者更改产品批号的药品；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（五）超过有效期的药品；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（六）擅自添加防腐剂、辅料的药品；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（七）其他不符合药品标准的药品。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禁止未取得药品批准证明文件生产、进口药品；禁止使用未按照规定审评、审批的原料药、包装材料和容器生产药品。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药品监督管理部门应当对高风险的药品实施重点监督检查。</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对有证据证明可能存在安全隐患的，药品监督管理部门根据监督检查情况，应当采取告诫、约谈、限期整改以及暂停生产、销售、使用、进口等措施，并及时公布检查处理结果。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药品监督管理部门进行监督检查时，应当出示证明文件，对监督检查中知悉的商业秘密应当保密。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第一百条　药品监督管理部门根据监督管理的需要，可以对药品质量进行抽查检验。抽查检验应当按照规定抽样，并不得收取任何费用；抽样应当购买样品。所需费用按照国务院规定列支。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对有证据证明可能危害人体健康的药品及其有关材料，药品监督管理部门可以查封、扣押，并在七日内作出行政处理决定；药品需要检验的，应当自检验报告书发出之日起十五日内作出行政处理决定。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第一百零一条　国务院和省、自治区、直辖市人民政府的药品监督管理部门应当定期公告药品质量抽查检验结果；公告不当的，应当在原公告范围内予以更正。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第一百零四条　国家建立职业化、专业化药品检查员队伍。检查员应当熟悉药品法律法规，具备药品专业知识。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第一百零六条　药品监督管理部门应当公布本部门的电子邮件地址、电话，接受咨询、投诉、举报，并依法及时答复、核实、处理。对查证属实的举报，按照有关规定给予举报人奖励。</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药品监督管理部门应当对举报人的信息予以保密，保护举报人的合法权益。举报人举报所在单位的，该单位不得以解除、变更劳动合同或者其他方式对举报人进行打击报复。</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公布药品安全信息，应当及时、准确、全面，并进行必要的说明，避免误导。</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任何单位和个人不得编造、散布虚假药品安全信息。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第一百零八条　县级以上人民政府应当制定药品安全事件应急预案。药品上市许可持有人、药品生产企业、药品经营企业和医疗机构等应当制定本单位的药品安全事件处置方案，并组织开展培训和应急演练。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发生药品安全事件，县级以上人民政府应当按照应急预案立即组织开展应对工作；有关单位应当立即采取有效措施进行处置，防止危害扩大。</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第一百零九条　药品监督管理部门未及时发现药品安全系统性风险，未及时消除监督管理区域内药品安全隐患的，本级人民政府或者上级人民政府药品监督管理部门应当对其主要负责人进行约谈。</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地方人民政府未履行药品安全职责，未及时消除区域性重大药品安全隐患的，上级人民政府或者上级人民政府药品监督管理部门应当对其主要负责人进行约谈。</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被约谈的部门和地方人民政府应当立即采取措施，对药品监督管理工作进行整改。</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约谈情况和整改情况应当纳入有关部门和地方人民政府药品监督管理工作评议、考核记录。</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第一百一十条　地方人民政府及其药品监督管理部门不得以要求实施药品检验、审批等手段限制或者排斥非本地区药品上市许可持有人、药品生产企业生产的药品进入本地区。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第一百一十一条　药品监督管理部门及其设置或者指定的药品专业技术机构不得参与药品生产经营活动，不得以其名义推荐或者监制、监销药品。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药品监督管理部门及其设置或者指定的药品专业技术机构的工作人员不得参与药品生产经营活动。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第一百一十二条　国务院对麻醉药品、精神药品、医疗用毒性药品、放射性药品、药品类易制毒化学品等有其他特殊管理规定的，依照其规定。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第一百一十三条　药品监督管理部门发现药品违法行为涉嫌犯罪的，应当及时将案件移送公安机关。</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对依法不需要追究刑事责任或者免予刑事处罚，但应当追究行政责任的，公安机关、人民检察院、人民法院应当及时将案件移送药品监督管理部门。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公安机关、人民检察院、人民法院商请药品监督管理部门、生态环境主管部门等部门提供检验结论、认定意见以及对涉案药品进行无害化处理等协助的，有关部门应当及时提供，予以协助。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第十一章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第一百一十四条　违反本法规定，构成犯罪的，依法追究刑事责任。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生产、销售的中药饮片不符合药品标准，尚不影响安全性、有效性的，责令限期改正，给予警告；可以处十万元以上五十万元以下的罚款。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对生产者专门用于生产假药、劣药的原料、辅料、包装材料、生产设备予以没收。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第一百一十九条　药品使用单位使用假药、劣药的，按照销售假药、零售劣药的规定处罚；情节严重的，法定代表人、主要负责人、直接负责的主管人员和其他责任人员有医疗卫生人员执业证书的，还应当吊销执业证书。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第一百二十一条　对假药、劣药的处罚决定，应当依法载明药品检验机构的质量检验结论。</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（一）未取得药品批准证明文件生产、进口药品；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（二）使用采取欺骗手段取得的药品批准证明文件生产、进口药品；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（三）使用未经审评审批的原料药生产药品；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（四）应当检验而未经检验即销售药品；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（五）生产、销售国务院药品监督管理部门禁止使用的药品；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（六）编造生产、检验记录；</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（七）未经批准在药品生产过程中进行重大变更。</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未经批准进口少量境外已合法上市的药品，情节较轻的，可以依法减轻或者免予处罚。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（一）未经批准开展药物临床试验；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（二）使用未经审评的直接接触药品的包装材料或者容器生产药品，或者销售该类药品；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（三）使用未经核准的标签、说明书。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第一百二十七条　违反本法规定，有下列行为之一的，责令限期改正，给予警告；逾期不改正的，处十万元以上五十万元以下的罚款：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（一）开展生物等效性试验未备案；</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（二）药物临床试验期间，发现存在安全性问题或者其他风险，临床试验申办者未及时调整临床试验方案、暂停或者终止临床试验，或者未向国务院药品监督管理部门报告；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（三）未按照规定建立并实施药品追溯制度；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（四）未按照规定提交年度报告；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（五）未按照规定对药品生产过程中的变更进行备案或者报告；</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（六）未制定药品上市后风险管理计划；</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（七）未按照规定开展药品上市后研究或者上市后评价。</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第一百三十条　违反本法规定，药品经营企业购销药品未按照规定进行记录，零售药品未正确说明用法、用量等事项，或者未按照规定调配处方的，责令改正，给予警告；情节严重的，吊销药品经营许可证。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第一百三十二条　进口已获得药品注册证书的药品，未按照规定向允许药品进口的口岸所在地药品监督管理部门备案的，责令限期改正，给予警告；逾期不改正的，吊销药品注册证书。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第一百三十四条　药品上市许可持有人未按照规定开展药品不良反应监测或者报告疑似药品不良反应的，责令限期改正，给予警告；逾期不改正的，责令停产停业整顿，并处十万元以上一百万元以下的罚款。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药品经营企业未按照规定报告疑似药品不良反应的，责令限期改正，给予警告；逾期不改正的，责令停产停业整顿，并处五万元以上五十万元以下的罚款。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医疗机构未按照规定报告疑似药品不良反应的，责令限期改正，给予警告；逾期不改正的，处五万元以上五十万元以下的罚款。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第一百三十六条　药品上市许可持有人为境外企业的，其指定的在中国境内的企业法人未依照本法规定履行相关义务的，适用本法有关药品上市许可持有人法律责任的规定。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第一百三十七条　有下列行为之一的，在本法规定的处罚幅度内从重处罚：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（一）以麻醉药品、精神药品、医疗用毒性药品、放射性药品、药品类易制毒化学品冒充其他药品，或者以其他药品冒充上述药品；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（二）生产、销售以孕产妇、儿童为主要使用对象的假药、劣药；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（三）生产、销售的生物制品属于假药、劣药；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（四）生产、销售假药、劣药，造成人身伤害后果；</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（五）生产、销售假药、劣药，经处理后再犯；</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（六）拒绝、逃避监督检查，伪造、销毁、隐匿有关证据材料，或者擅自动用查封、扣押物品。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第一百三十九条　本法第一百一十五条至第一百三十八条规定的行政处罚，由县级以上人民政府药品监督管理部门按照职责分工决定；撤销许可、吊销许可证件的，由原批准、发证的部门决定。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第一百四十条　药品上市许可持有人、药品生产企业、药品经营企业或者医疗机构违反本法规定聘用人员的，由药品监督管理部门或者卫生健康主管部门责令解聘，处五万元以上二十万元以下的罚款。</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药品上市许可持有人、药品生产企业、药品经营企业在药品研制、生产、经营中向国家工作人员行贿的，对法定代表人、主要负责人、直接负责的主管人员和其他责任人员终身禁止从事药品生产经营活动。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第一百四十三条　违反本法规定，编造、散布虚假药品安全信息，构成违反治安管理行为的，由公安机关依法给予治安管理处罚。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第一百四十四条　药品上市许可持有人、药品生产企业、药品经营企业或者医疗机构违反本法规定，给用药者造成损害的，依法承担赔偿责任。</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生产假药、劣药或者明知是假药、劣药仍然销售、使用的，受害人或者其近亲属除请求赔偿损失外，还可以请求支付价款十倍或者损失三倍的赔偿金；增加赔偿的金额不足一千元的，为一千元。</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药品监督管理部门或者其设置、指定的药品专业技术机构的工作人员参与药品生产经营活动的，依法给予处分。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第一百四十七条　违反本法规定，药品监督管理部门有下列行为之一的，应当撤销相关许可，对直接负责的主管人员和其他直接责任人员依法给予处分：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（一）不符合条件而批准进行药物临床试验；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（二）对不符合条件的药品颁发药品注册证书；</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（三）对不符合条件的单位颁发药品生产许可证、药品经营许可证或者医疗机构制剂许可证。</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第一百四十八条　违反本法规定，县级以上地方人民政府有下列行为之一的，对直接负责的主管人员和其他直接责任人员给予记过或者记大过处分；情节严重的，给予降级、撤职或者开除处分：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（一）瞒报、谎报、缓报、漏报药品安全事件；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（二）未及时消除区域性重大药品安全隐患，造成本行政区域内发生特别重大药品安全事件，或者连续发生重大药品安全事件；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（三）履行职责不力，造成严重不良影响或者重大损失。</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第一百四十九条　违反本法规定，药品监督管理等部门有下列行为之一的，对直接负责的主管人员和其他直接责任人员给予记过或者记大过处分；情节较重的，给予降级或者撤职处分；情节严重的，给予开除处分：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（一）瞒报、谎报、缓报、漏报药品安全事件；</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（二）对发现的药品安全违法行为未及时查处；</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（三）未及时发现药品安全系统性风险，或者未及时消除监督管理区域内药品安全隐患，造成严重影响；</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（四）其他不履行药品监督管理职责，造成严重不良影响或者重大损失。</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第一百五十条　药品监督管理人员滥用职权、徇私舞弊、玩忽职守的，依法给予处分。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查处假药、劣药违法行为有失职、渎职行为的，对药品监督管理部门直接负责的主管人员和其他直接责任人员依法从重给予处分。</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第一百五十一条　本章规定的货值金额以违法生产、销售药品的标价计算；没有标价的，按照同类药品的市场价格计算。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第十二章　附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z w:val="24"/>
          <w:szCs w:val="24"/>
          <w:u w:val="none"/>
        </w:rPr>
        <w:t>　　第一百五十二条　中药材种植、采集和饲养的管理，依照有关法律、法规的规定执行。</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第一百五十三条　地区性民间习用药材的管理办法，由国务院药品监督管理部门会同国务院中医药主管部门制定。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第一百五十四条　中国人民解放军和中国人民武装警察部队执行本法的具体办法，由国务院、中央军事委员会依据本法制定。</w:t>
      </w:r>
      <w:r>
        <w:rPr>
          <w:rFonts w:hint="eastAsia" w:asciiTheme="minorEastAsia" w:hAnsiTheme="minorEastAsia" w:eastAsiaTheme="minorEastAsia" w:cstheme="minorEastAsia"/>
          <w:color w:val="000000"/>
          <w:sz w:val="24"/>
          <w:szCs w:val="24"/>
          <w:u w:val="none"/>
        </w:rPr>
        <w:br w:type="textWrapping"/>
      </w:r>
      <w:r>
        <w:rPr>
          <w:rFonts w:hint="eastAsia" w:asciiTheme="minorEastAsia" w:hAnsiTheme="minorEastAsia" w:eastAsiaTheme="minorEastAsia" w:cstheme="minorEastAsia"/>
          <w:color w:val="000000"/>
          <w:sz w:val="24"/>
          <w:szCs w:val="24"/>
          <w:u w:val="none"/>
        </w:rPr>
        <w:t>　　第一百五十五条　本法自2019年12月1日起施行。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670A8"/>
    <w:rsid w:val="0F276B2E"/>
    <w:rsid w:val="1BC220C9"/>
    <w:rsid w:val="6DC5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45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5D5D5D"/>
      <w:u w:val="none"/>
    </w:rPr>
  </w:style>
  <w:style w:type="character" w:styleId="7">
    <w:name w:val="Hyperlink"/>
    <w:basedOn w:val="4"/>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DCTC</dc:creator>
  <cp:lastModifiedBy>DCTC</cp:lastModifiedBy>
  <dcterms:modified xsi:type="dcterms:W3CDTF">2020-04-20T09:06:38Z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